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FA" w:rsidRPr="00A93EFA" w:rsidRDefault="00A93EFA" w:rsidP="00A93EFA">
      <w:pPr>
        <w:spacing w:after="0" w:line="240" w:lineRule="auto"/>
        <w:rPr>
          <w:rFonts w:asciiTheme="minorBidi" w:hAnsiTheme="minorBidi"/>
          <w:b/>
          <w:bCs/>
          <w:color w:val="1F3864" w:themeColor="accent5" w:themeShade="80"/>
          <w:sz w:val="44"/>
          <w:szCs w:val="44"/>
        </w:rPr>
      </w:pPr>
    </w:p>
    <w:p w:rsidR="00A93EFA" w:rsidRPr="00A93EFA" w:rsidRDefault="00A93EFA" w:rsidP="00A93EFA">
      <w:pPr>
        <w:spacing w:after="0" w:line="240" w:lineRule="auto"/>
        <w:rPr>
          <w:rFonts w:asciiTheme="minorBidi" w:hAnsiTheme="minorBidi"/>
          <w:color w:val="1F3864" w:themeColor="accent5" w:themeShade="80"/>
          <w:sz w:val="36"/>
          <w:szCs w:val="36"/>
        </w:rPr>
      </w:pPr>
      <w:r w:rsidRPr="00A93EFA">
        <w:rPr>
          <w:rFonts w:asciiTheme="minorBidi" w:hAnsiTheme="minorBidi"/>
          <w:color w:val="1F3864" w:themeColor="accent5" w:themeShade="80"/>
          <w:sz w:val="36"/>
          <w:szCs w:val="36"/>
        </w:rPr>
        <w:t>Diligence raisonnable</w:t>
      </w:r>
    </w:p>
    <w:p w:rsidR="00A93EFA" w:rsidRDefault="00A93EFA" w:rsidP="00A93EFA">
      <w:pPr>
        <w:spacing w:after="0" w:line="240" w:lineRule="auto"/>
        <w:rPr>
          <w:rFonts w:asciiTheme="minorBidi" w:hAnsiTheme="minorBidi"/>
          <w:color w:val="1F3864" w:themeColor="accent5" w:themeShade="80"/>
        </w:rPr>
      </w:pPr>
      <w:r w:rsidRPr="00A93EFA">
        <w:rPr>
          <w:rFonts w:asciiTheme="minorBidi" w:hAnsiTheme="minorBidi"/>
          <w:color w:val="1F3864" w:themeColor="accent5" w:themeShade="80"/>
        </w:rPr>
        <w:t>Est la procédure d’enquête sur quelque chose, Investissement ou plan pour l’avenir, pour vous assurer que vous connaissez tous les détails et les contingences avant de prendre tout engagement!</w:t>
      </w:r>
    </w:p>
    <w:p w:rsidR="00A93EFA" w:rsidRPr="00A93EFA" w:rsidRDefault="00A93EFA" w:rsidP="00A93EFA">
      <w:pPr>
        <w:spacing w:after="0" w:line="240" w:lineRule="auto"/>
        <w:rPr>
          <w:rFonts w:asciiTheme="minorBidi" w:hAnsiTheme="minorBidi"/>
          <w:color w:val="1F3864" w:themeColor="accent5" w:themeShade="80"/>
        </w:rPr>
      </w:pPr>
    </w:p>
    <w:p w:rsidR="00A93EFA" w:rsidRDefault="00A93EFA" w:rsidP="00A93EFA">
      <w:pPr>
        <w:spacing w:after="0" w:line="240" w:lineRule="auto"/>
        <w:rPr>
          <w:rFonts w:asciiTheme="minorBidi" w:hAnsiTheme="minorBidi"/>
          <w:color w:val="1F3864" w:themeColor="accent5" w:themeShade="80"/>
        </w:rPr>
      </w:pPr>
      <w:r w:rsidRPr="00A93EFA">
        <w:rPr>
          <w:rFonts w:asciiTheme="minorBidi" w:hAnsiTheme="minorBidi"/>
          <w:color w:val="1F3864" w:themeColor="accent5" w:themeShade="80"/>
        </w:rPr>
        <w:t>Il est aussi bien expérimenté que l’examen d’une boussole d’investissement potentielle par un acheteur probable, où les tâches d’audit sont soumises à des contingences distinctes.</w:t>
      </w:r>
    </w:p>
    <w:p w:rsidR="00A93EFA" w:rsidRPr="00A93EFA" w:rsidRDefault="00A93EFA" w:rsidP="00A93EFA">
      <w:pPr>
        <w:spacing w:after="0" w:line="240" w:lineRule="auto"/>
        <w:rPr>
          <w:rFonts w:asciiTheme="minorBidi" w:hAnsiTheme="minorBidi"/>
          <w:color w:val="1F3864" w:themeColor="accent5" w:themeShade="80"/>
        </w:rPr>
      </w:pPr>
    </w:p>
    <w:p w:rsidR="00A93EFA" w:rsidRDefault="00A93EFA" w:rsidP="00A93EFA">
      <w:pPr>
        <w:spacing w:after="0" w:line="240" w:lineRule="auto"/>
        <w:rPr>
          <w:rFonts w:asciiTheme="minorBidi" w:hAnsiTheme="minorBidi"/>
          <w:color w:val="1F3864" w:themeColor="accent5" w:themeShade="80"/>
        </w:rPr>
      </w:pPr>
      <w:r w:rsidRPr="00A93EFA">
        <w:rPr>
          <w:rFonts w:asciiTheme="minorBidi" w:hAnsiTheme="minorBidi"/>
          <w:color w:val="1F3864" w:themeColor="accent5" w:themeShade="80"/>
        </w:rPr>
        <w:t>Diligence raisonnable dans un terme juridique décrivant la nécessité qu’un courtier recherche des pièges potentiels dans toute transaction pour la personne qu’il assiste à une vente avant la fin de la transaction.</w:t>
      </w:r>
    </w:p>
    <w:p w:rsidR="00A93EFA" w:rsidRPr="00A93EFA" w:rsidRDefault="00A93EFA" w:rsidP="00A93EFA">
      <w:pPr>
        <w:spacing w:after="0" w:line="240" w:lineRule="auto"/>
        <w:rPr>
          <w:rFonts w:asciiTheme="minorBidi" w:hAnsiTheme="minorBidi"/>
          <w:color w:val="1F3864" w:themeColor="accent5" w:themeShade="80"/>
        </w:rPr>
      </w:pPr>
    </w:p>
    <w:p w:rsidR="00A93EFA" w:rsidRDefault="00A93EFA" w:rsidP="00A93EFA">
      <w:pPr>
        <w:spacing w:after="0" w:line="240" w:lineRule="auto"/>
        <w:rPr>
          <w:rFonts w:asciiTheme="minorBidi" w:hAnsiTheme="minorBidi"/>
          <w:color w:val="1F3864" w:themeColor="accent5" w:themeShade="80"/>
        </w:rPr>
      </w:pPr>
      <w:r w:rsidRPr="00A93EFA">
        <w:rPr>
          <w:rFonts w:asciiTheme="minorBidi" w:hAnsiTheme="minorBidi"/>
          <w:color w:val="1F3864" w:themeColor="accent5" w:themeShade="80"/>
        </w:rPr>
        <w:t>Il se produit trop dur et la diligence raisonnable douce dépend des données quantifiables que vous pourriez avoir besoin,</w:t>
      </w:r>
    </w:p>
    <w:p w:rsidR="00A93EFA" w:rsidRPr="00A93EFA" w:rsidRDefault="00A93EFA" w:rsidP="00A93EFA">
      <w:pPr>
        <w:spacing w:after="0" w:line="240" w:lineRule="auto"/>
        <w:rPr>
          <w:rFonts w:asciiTheme="minorBidi" w:hAnsiTheme="minorBidi"/>
          <w:color w:val="1F3864" w:themeColor="accent5" w:themeShade="80"/>
        </w:rPr>
      </w:pPr>
    </w:p>
    <w:p w:rsidR="00A93EFA" w:rsidRPr="005068BC" w:rsidRDefault="00A93EFA" w:rsidP="00A93EFA">
      <w:pPr>
        <w:spacing w:after="0" w:line="240" w:lineRule="auto"/>
        <w:rPr>
          <w:rFonts w:asciiTheme="minorBidi" w:hAnsiTheme="minorBidi"/>
          <w:color w:val="1F3864" w:themeColor="accent5" w:themeShade="80"/>
          <w:sz w:val="32"/>
          <w:szCs w:val="32"/>
        </w:rPr>
      </w:pPr>
      <w:r w:rsidRPr="005068BC">
        <w:rPr>
          <w:rFonts w:asciiTheme="minorBidi" w:hAnsiTheme="minorBidi"/>
          <w:color w:val="1F3864" w:themeColor="accent5" w:themeShade="80"/>
          <w:sz w:val="32"/>
          <w:szCs w:val="32"/>
        </w:rPr>
        <w:t>Diligence raisonnable en matière financière</w:t>
      </w:r>
    </w:p>
    <w:p w:rsidR="00A93EFA" w:rsidRDefault="00A93EFA" w:rsidP="00A93EFA">
      <w:pPr>
        <w:spacing w:after="0" w:line="240" w:lineRule="auto"/>
        <w:rPr>
          <w:rFonts w:asciiTheme="minorBidi" w:hAnsiTheme="minorBidi"/>
          <w:color w:val="1F3864" w:themeColor="accent5" w:themeShade="80"/>
        </w:rPr>
      </w:pPr>
      <w:r w:rsidRPr="00A93EFA">
        <w:rPr>
          <w:rFonts w:asciiTheme="minorBidi" w:hAnsiTheme="minorBidi"/>
          <w:color w:val="1F3864" w:themeColor="accent5" w:themeShade="80"/>
        </w:rPr>
        <w:t>Un audit financier est une analyse approfondie des états financiers d’une autre entité. Cela permet d’évaluer de façon concluante sa valeur et les risques potentiels. Les situations courantes qui nécessitent des analyses financières comprennent l’ouverture d’un investissement, la fusion ou l’acquisition d’une entreprise.</w:t>
      </w:r>
    </w:p>
    <w:p w:rsidR="00A93EFA" w:rsidRPr="00A93EFA" w:rsidRDefault="00A93EFA" w:rsidP="00A93EFA">
      <w:pPr>
        <w:spacing w:after="0" w:line="240" w:lineRule="auto"/>
        <w:rPr>
          <w:rFonts w:asciiTheme="minorBidi" w:hAnsiTheme="minorBidi"/>
          <w:color w:val="1F3864" w:themeColor="accent5" w:themeShade="80"/>
        </w:rPr>
      </w:pPr>
    </w:p>
    <w:p w:rsidR="00A93EFA" w:rsidRPr="005068BC" w:rsidRDefault="00A93EFA" w:rsidP="00A93EFA">
      <w:pPr>
        <w:spacing w:after="0" w:line="240" w:lineRule="auto"/>
        <w:rPr>
          <w:rFonts w:asciiTheme="minorBidi" w:hAnsiTheme="minorBidi"/>
          <w:color w:val="1F3864" w:themeColor="accent5" w:themeShade="80"/>
          <w:sz w:val="24"/>
          <w:szCs w:val="24"/>
          <w:u w:val="single"/>
        </w:rPr>
      </w:pPr>
      <w:r w:rsidRPr="005068BC">
        <w:rPr>
          <w:rFonts w:asciiTheme="minorBidi" w:hAnsiTheme="minorBidi"/>
          <w:color w:val="1F3864" w:themeColor="accent5" w:themeShade="80"/>
          <w:sz w:val="24"/>
          <w:szCs w:val="24"/>
          <w:u w:val="single"/>
        </w:rPr>
        <w:t>Les éléments examinés au cours de la vérification préalable financière sont les suivants :</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Évolution des revenus, des bénéfices et de la croissance</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Stock, options, dettes à court et long terme</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Ratios par rapport aux concurrents et aux indices de référence de l’industrie</w:t>
      </w:r>
    </w:p>
    <w:p w:rsidR="00644778"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Bilans, comptes de résultat et état des flux de trésorerie</w:t>
      </w:r>
    </w:p>
    <w:p w:rsidR="00A93EFA" w:rsidRDefault="00A93EFA" w:rsidP="00A93EFA">
      <w:pPr>
        <w:spacing w:after="0" w:line="240" w:lineRule="auto"/>
        <w:rPr>
          <w:rFonts w:asciiTheme="minorBidi" w:hAnsiTheme="minorBidi"/>
          <w:color w:val="1F3864" w:themeColor="accent5" w:themeShade="80"/>
          <w:sz w:val="20"/>
          <w:szCs w:val="20"/>
        </w:rPr>
      </w:pPr>
    </w:p>
    <w:p w:rsidR="00D22512" w:rsidRDefault="00D22512" w:rsidP="00A93EFA">
      <w:pPr>
        <w:spacing w:after="0" w:line="240" w:lineRule="auto"/>
        <w:rPr>
          <w:rFonts w:asciiTheme="minorBidi" w:hAnsiTheme="minorBidi"/>
          <w:color w:val="1F3864" w:themeColor="accent5" w:themeShade="80"/>
          <w:sz w:val="32"/>
          <w:szCs w:val="32"/>
        </w:rPr>
      </w:pPr>
    </w:p>
    <w:p w:rsidR="00A93EFA" w:rsidRPr="005068BC" w:rsidRDefault="00A93EFA" w:rsidP="00A93EFA">
      <w:pPr>
        <w:spacing w:after="0" w:line="240" w:lineRule="auto"/>
        <w:rPr>
          <w:rFonts w:asciiTheme="minorBidi" w:hAnsiTheme="minorBidi"/>
          <w:color w:val="1F3864" w:themeColor="accent5" w:themeShade="80"/>
          <w:sz w:val="32"/>
          <w:szCs w:val="32"/>
        </w:rPr>
      </w:pPr>
      <w:r w:rsidRPr="005068BC">
        <w:rPr>
          <w:rFonts w:asciiTheme="minorBidi" w:hAnsiTheme="minorBidi"/>
          <w:color w:val="1F3864" w:themeColor="accent5" w:themeShade="80"/>
          <w:sz w:val="32"/>
          <w:szCs w:val="32"/>
        </w:rPr>
        <w:t>Types de diligence raisonnable : -</w:t>
      </w:r>
    </w:p>
    <w:p w:rsidR="00A93EFA" w:rsidRDefault="00A93EFA" w:rsidP="00A93EFA">
      <w:pPr>
        <w:spacing w:after="0" w:line="240" w:lineRule="auto"/>
        <w:rPr>
          <w:rFonts w:asciiTheme="minorBidi" w:hAnsiTheme="minorBidi"/>
          <w:color w:val="1F3864" w:themeColor="accent5" w:themeShade="80"/>
        </w:rPr>
      </w:pPr>
      <w:r w:rsidRPr="005068BC">
        <w:rPr>
          <w:rFonts w:asciiTheme="minorBidi" w:hAnsiTheme="minorBidi"/>
          <w:color w:val="1F3864" w:themeColor="accent5" w:themeShade="80"/>
        </w:rPr>
        <w:t xml:space="preserve">Il pourrait se résumer comme suit : </w:t>
      </w:r>
    </w:p>
    <w:p w:rsidR="005068BC" w:rsidRPr="005068BC" w:rsidRDefault="005068BC" w:rsidP="00A93EFA">
      <w:pPr>
        <w:spacing w:after="0" w:line="240" w:lineRule="auto"/>
        <w:rPr>
          <w:rFonts w:asciiTheme="minorBidi" w:hAnsiTheme="minorBidi"/>
          <w:color w:val="1F3864" w:themeColor="accent5" w:themeShade="80"/>
        </w:rPr>
      </w:pPr>
    </w:p>
    <w:p w:rsidR="00A93EFA" w:rsidRPr="005068BC" w:rsidRDefault="00A93EFA" w:rsidP="005068BC">
      <w:pPr>
        <w:pStyle w:val="ListParagraph"/>
        <w:numPr>
          <w:ilvl w:val="0"/>
          <w:numId w:val="4"/>
        </w:numPr>
        <w:spacing w:after="0"/>
        <w:rPr>
          <w:rFonts w:asciiTheme="minorBidi" w:hAnsiTheme="minorBidi"/>
          <w:b/>
          <w:bCs/>
          <w:i/>
          <w:iCs/>
          <w:color w:val="1F3864" w:themeColor="accent5" w:themeShade="80"/>
        </w:rPr>
      </w:pPr>
      <w:r w:rsidRPr="005068BC">
        <w:rPr>
          <w:rFonts w:asciiTheme="minorBidi" w:hAnsiTheme="minorBidi"/>
          <w:b/>
          <w:bCs/>
          <w:i/>
          <w:iCs/>
          <w:color w:val="1F3864" w:themeColor="accent5" w:themeShade="80"/>
        </w:rPr>
        <w:t>Finances,</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Dans le cadre d’une vérification financière, l’exactitude des documents financiers est vérifiée. L’objectif est de comprendre le rendement financier global et de trouver tout autre problème sous-jacent. Les éléments vérifiés peuvent comprendre :</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États financiers</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Les prévisions et projections de l’entité</w:t>
      </w:r>
    </w:p>
    <w:p w:rsidR="005068BC" w:rsidRDefault="00A93EFA" w:rsidP="005068BC">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Plans d’inventaire.</w:t>
      </w:r>
    </w:p>
    <w:p w:rsidR="00A93EFA" w:rsidRPr="005068BC" w:rsidRDefault="00A93EFA" w:rsidP="005068BC">
      <w:pPr>
        <w:pStyle w:val="ListParagraph"/>
        <w:numPr>
          <w:ilvl w:val="0"/>
          <w:numId w:val="4"/>
        </w:numPr>
        <w:spacing w:after="0" w:line="240" w:lineRule="auto"/>
        <w:rPr>
          <w:rFonts w:asciiTheme="minorBidi" w:hAnsiTheme="minorBidi"/>
          <w:color w:val="1F3864" w:themeColor="accent5" w:themeShade="80"/>
          <w:sz w:val="20"/>
          <w:szCs w:val="20"/>
        </w:rPr>
      </w:pPr>
      <w:r w:rsidRPr="005068BC">
        <w:rPr>
          <w:rFonts w:asciiTheme="minorBidi" w:hAnsiTheme="minorBidi"/>
          <w:b/>
          <w:bCs/>
          <w:i/>
          <w:iCs/>
          <w:color w:val="1F3864" w:themeColor="accent5" w:themeShade="80"/>
        </w:rPr>
        <w:t>Due diligence juridique,</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Aide à déterminer si l’entreprise cible est légalement soumise ou prise au piège dans les événements. Les éléments évalués comprennent :</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Contrats</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Documents d’entreprise</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Procès-verbal de la réunion du Conseil</w:t>
      </w:r>
    </w:p>
    <w:p w:rsidR="005068BC"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xml:space="preserve">- Dogme de conformité </w:t>
      </w:r>
    </w:p>
    <w:p w:rsidR="005068BC" w:rsidRDefault="005068BC" w:rsidP="005068BC">
      <w:pPr>
        <w:spacing w:after="0"/>
        <w:rPr>
          <w:rFonts w:asciiTheme="minorBidi" w:hAnsiTheme="minorBidi"/>
          <w:color w:val="1F3864" w:themeColor="accent5" w:themeShade="80"/>
          <w:sz w:val="20"/>
          <w:szCs w:val="20"/>
        </w:rPr>
      </w:pPr>
    </w:p>
    <w:p w:rsidR="00A93EFA" w:rsidRPr="005068BC" w:rsidRDefault="00A93EFA" w:rsidP="005068BC">
      <w:pPr>
        <w:pStyle w:val="ListParagraph"/>
        <w:numPr>
          <w:ilvl w:val="0"/>
          <w:numId w:val="4"/>
        </w:numPr>
        <w:spacing w:after="0"/>
        <w:rPr>
          <w:rFonts w:asciiTheme="minorBidi" w:hAnsiTheme="minorBidi"/>
          <w:b/>
          <w:bCs/>
          <w:i/>
          <w:iCs/>
          <w:color w:val="1F3864" w:themeColor="accent5" w:themeShade="80"/>
        </w:rPr>
      </w:pPr>
      <w:r w:rsidRPr="005068BC">
        <w:rPr>
          <w:rFonts w:asciiTheme="minorBidi" w:hAnsiTheme="minorBidi"/>
          <w:b/>
          <w:bCs/>
          <w:i/>
          <w:iCs/>
          <w:color w:val="1F3864" w:themeColor="accent5" w:themeShade="80"/>
        </w:rPr>
        <w:t>Diligence raisonnable des Ressources humaines,</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Il met l’accent sur l’actif le plus important de l’entité : ses employés. L’enquête RH vise à interpréter :</w:t>
      </w:r>
    </w:p>
    <w:p w:rsidR="00A93EFA" w:rsidRPr="00A93EFA" w:rsidRDefault="005068BC"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Structure organisationnelle</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Rémunération et avantages sociaux</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Postes vacants</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Contrats syndicaux (le cas échéant)</w:t>
      </w:r>
    </w:p>
    <w:p w:rsidR="005068BC"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xml:space="preserve">- Litiges de harcèlement ou licenciements abusifs </w:t>
      </w:r>
    </w:p>
    <w:p w:rsidR="00D22512" w:rsidRDefault="00D22512" w:rsidP="00A93EFA">
      <w:pPr>
        <w:spacing w:after="0" w:line="240" w:lineRule="auto"/>
        <w:rPr>
          <w:rFonts w:asciiTheme="minorBidi" w:hAnsiTheme="minorBidi"/>
          <w:color w:val="1F3864" w:themeColor="accent5" w:themeShade="80"/>
          <w:sz w:val="20"/>
          <w:szCs w:val="20"/>
        </w:rPr>
      </w:pPr>
      <w:bookmarkStart w:id="0" w:name="_GoBack"/>
      <w:bookmarkEnd w:id="0"/>
    </w:p>
    <w:p w:rsidR="00A93EFA" w:rsidRPr="005068BC" w:rsidRDefault="00A93EFA" w:rsidP="005068BC">
      <w:pPr>
        <w:pStyle w:val="ListParagraph"/>
        <w:numPr>
          <w:ilvl w:val="0"/>
          <w:numId w:val="4"/>
        </w:numPr>
        <w:spacing w:after="0"/>
        <w:rPr>
          <w:rFonts w:asciiTheme="minorBidi" w:hAnsiTheme="minorBidi"/>
          <w:b/>
          <w:bCs/>
          <w:i/>
          <w:iCs/>
          <w:color w:val="1F3864" w:themeColor="accent5" w:themeShade="80"/>
        </w:rPr>
      </w:pPr>
      <w:r w:rsidRPr="005068BC">
        <w:rPr>
          <w:rFonts w:asciiTheme="minorBidi" w:hAnsiTheme="minorBidi"/>
          <w:b/>
          <w:bCs/>
          <w:i/>
          <w:iCs/>
          <w:color w:val="1F3864" w:themeColor="accent5" w:themeShade="80"/>
        </w:rPr>
        <w:t>Diligence raisonnable stratégique</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Il évalue si l’entreprise de prévisions sera à l’aise avec ses objectifs. Cela pousse l’acheteur à culs :</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Avantages de l’accord</w:t>
      </w:r>
    </w:p>
    <w:p w:rsidR="00A93EFA" w:rsidRP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Dans quelle mesure les deux entités fusionneraient-elles?</w:t>
      </w:r>
    </w:p>
    <w:p w:rsidR="00A93EFA" w:rsidRDefault="00A93EFA" w:rsidP="00A93EFA">
      <w:pPr>
        <w:spacing w:after="0" w:line="240" w:lineRule="auto"/>
        <w:rPr>
          <w:rFonts w:asciiTheme="minorBidi" w:hAnsiTheme="minorBidi"/>
          <w:color w:val="1F3864" w:themeColor="accent5" w:themeShade="80"/>
          <w:sz w:val="20"/>
          <w:szCs w:val="20"/>
        </w:rPr>
      </w:pPr>
      <w:r w:rsidRPr="00A93EFA">
        <w:rPr>
          <w:rFonts w:asciiTheme="minorBidi" w:hAnsiTheme="minorBidi"/>
          <w:color w:val="1F3864" w:themeColor="accent5" w:themeShade="80"/>
          <w:sz w:val="20"/>
          <w:szCs w:val="20"/>
        </w:rPr>
        <w:t>- Synergies probables</w:t>
      </w:r>
    </w:p>
    <w:p w:rsidR="005068BC" w:rsidRDefault="005068BC" w:rsidP="005068BC">
      <w:pPr>
        <w:spacing w:after="0"/>
        <w:rPr>
          <w:rFonts w:asciiTheme="minorBidi" w:hAnsiTheme="minorBidi"/>
          <w:color w:val="1F3864" w:themeColor="accent5" w:themeShade="80"/>
          <w:sz w:val="20"/>
          <w:szCs w:val="20"/>
        </w:rPr>
      </w:pPr>
    </w:p>
    <w:p w:rsidR="005068BC" w:rsidRPr="005068BC" w:rsidRDefault="005068BC" w:rsidP="005068BC">
      <w:pPr>
        <w:pStyle w:val="ListParagraph"/>
        <w:numPr>
          <w:ilvl w:val="0"/>
          <w:numId w:val="4"/>
        </w:numPr>
        <w:spacing w:after="0"/>
        <w:rPr>
          <w:rFonts w:asciiTheme="minorBidi" w:hAnsiTheme="minorBidi"/>
          <w:b/>
          <w:bCs/>
          <w:i/>
          <w:iCs/>
          <w:color w:val="1F3864" w:themeColor="accent5" w:themeShade="80"/>
        </w:rPr>
      </w:pPr>
      <w:r w:rsidRPr="005068BC">
        <w:rPr>
          <w:rFonts w:asciiTheme="minorBidi" w:hAnsiTheme="minorBidi"/>
          <w:b/>
          <w:bCs/>
          <w:i/>
          <w:iCs/>
          <w:color w:val="1F3864" w:themeColor="accent5" w:themeShade="80"/>
        </w:rPr>
        <w:t>Diligence raisonnable en affaires,</w:t>
      </w:r>
    </w:p>
    <w:p w:rsidR="005068BC" w:rsidRDefault="005068BC" w:rsidP="005068BC">
      <w:pPr>
        <w:spacing w:after="0" w:line="240" w:lineRule="auto"/>
        <w:rPr>
          <w:rFonts w:asciiTheme="minorBidi" w:hAnsiTheme="minorBidi"/>
          <w:color w:val="1F3864" w:themeColor="accent5" w:themeShade="80"/>
          <w:sz w:val="20"/>
          <w:szCs w:val="20"/>
        </w:rPr>
      </w:pPr>
      <w:r w:rsidRPr="005068BC">
        <w:rPr>
          <w:rFonts w:asciiTheme="minorBidi" w:hAnsiTheme="minorBidi"/>
          <w:color w:val="1F3864" w:themeColor="accent5" w:themeShade="80"/>
          <w:sz w:val="20"/>
          <w:szCs w:val="20"/>
        </w:rPr>
        <w:t>Il diagnostique qui sont les clients de l’entité et diagnostique son industrie. Il aide à planifier l’impact et les risques connexes que l’activité peut présenter sur les clients actuels de l’entreprise acquéreuse.</w:t>
      </w:r>
    </w:p>
    <w:p w:rsidR="005068BC" w:rsidRPr="005068BC" w:rsidRDefault="005068BC" w:rsidP="005068BC">
      <w:pPr>
        <w:spacing w:after="0" w:line="240" w:lineRule="auto"/>
        <w:rPr>
          <w:rFonts w:asciiTheme="minorBidi" w:hAnsiTheme="minorBidi"/>
          <w:color w:val="1F3864" w:themeColor="accent5" w:themeShade="80"/>
          <w:sz w:val="20"/>
          <w:szCs w:val="20"/>
        </w:rPr>
      </w:pPr>
    </w:p>
    <w:p w:rsidR="005068BC" w:rsidRPr="005068BC" w:rsidRDefault="005068BC" w:rsidP="005068BC">
      <w:pPr>
        <w:pStyle w:val="ListParagraph"/>
        <w:numPr>
          <w:ilvl w:val="0"/>
          <w:numId w:val="4"/>
        </w:numPr>
        <w:spacing w:after="0"/>
        <w:rPr>
          <w:rFonts w:asciiTheme="minorBidi" w:hAnsiTheme="minorBidi"/>
          <w:b/>
          <w:bCs/>
          <w:i/>
          <w:iCs/>
          <w:color w:val="1F3864" w:themeColor="accent5" w:themeShade="80"/>
        </w:rPr>
      </w:pPr>
      <w:r w:rsidRPr="005068BC">
        <w:rPr>
          <w:rFonts w:asciiTheme="minorBidi" w:hAnsiTheme="minorBidi"/>
          <w:b/>
          <w:bCs/>
          <w:i/>
          <w:iCs/>
          <w:color w:val="1F3864" w:themeColor="accent5" w:themeShade="80"/>
        </w:rPr>
        <w:t>Diligence raisonnable en matière d’environnement</w:t>
      </w:r>
    </w:p>
    <w:p w:rsidR="005068BC" w:rsidRDefault="005068BC" w:rsidP="005068BC">
      <w:pPr>
        <w:spacing w:after="0" w:line="240" w:lineRule="auto"/>
        <w:rPr>
          <w:rFonts w:asciiTheme="minorBidi" w:hAnsiTheme="minorBidi"/>
          <w:color w:val="1F3864" w:themeColor="accent5" w:themeShade="80"/>
          <w:sz w:val="20"/>
          <w:szCs w:val="20"/>
        </w:rPr>
      </w:pPr>
      <w:r w:rsidRPr="005068BC">
        <w:rPr>
          <w:rFonts w:asciiTheme="minorBidi" w:hAnsiTheme="minorBidi"/>
          <w:color w:val="1F3864" w:themeColor="accent5" w:themeShade="80"/>
          <w:sz w:val="20"/>
          <w:szCs w:val="20"/>
        </w:rPr>
        <w:t>Il affirme que les processus et les installations de l’entité sont conformes à la gouvernance environnementale. Le but est d’annuler la probabilité de déchéance. Celles-ci peuvent aller de petites amendes à des sanctions plus sévères, comme l’arrêt de l’exploitation.</w:t>
      </w:r>
    </w:p>
    <w:p w:rsidR="005068BC" w:rsidRDefault="005068BC" w:rsidP="005068BC">
      <w:pPr>
        <w:spacing w:after="0"/>
        <w:rPr>
          <w:rFonts w:asciiTheme="minorBidi" w:hAnsiTheme="minorBidi"/>
          <w:color w:val="1F3864" w:themeColor="accent5" w:themeShade="80"/>
          <w:sz w:val="20"/>
          <w:szCs w:val="20"/>
        </w:rPr>
      </w:pPr>
    </w:p>
    <w:p w:rsidR="005068BC" w:rsidRPr="005068BC" w:rsidRDefault="005068BC" w:rsidP="005068BC">
      <w:pPr>
        <w:pStyle w:val="ListParagraph"/>
        <w:numPr>
          <w:ilvl w:val="0"/>
          <w:numId w:val="4"/>
        </w:numPr>
        <w:spacing w:after="0"/>
        <w:rPr>
          <w:rFonts w:asciiTheme="minorBidi" w:hAnsiTheme="minorBidi"/>
          <w:b/>
          <w:bCs/>
          <w:i/>
          <w:iCs/>
          <w:color w:val="1F3864" w:themeColor="accent5" w:themeShade="80"/>
        </w:rPr>
      </w:pPr>
      <w:r w:rsidRPr="005068BC">
        <w:rPr>
          <w:rFonts w:asciiTheme="minorBidi" w:hAnsiTheme="minorBidi"/>
          <w:b/>
          <w:bCs/>
          <w:i/>
          <w:iCs/>
          <w:color w:val="1F3864" w:themeColor="accent5" w:themeShade="80"/>
        </w:rPr>
        <w:t>Due Diligence opérationnelle,</w:t>
      </w:r>
    </w:p>
    <w:p w:rsidR="005068BC" w:rsidRPr="00A93EFA" w:rsidRDefault="005068BC" w:rsidP="005068BC">
      <w:pPr>
        <w:spacing w:after="0" w:line="240" w:lineRule="auto"/>
        <w:rPr>
          <w:rFonts w:asciiTheme="minorBidi" w:hAnsiTheme="minorBidi"/>
          <w:color w:val="1F3864" w:themeColor="accent5" w:themeShade="80"/>
          <w:sz w:val="20"/>
          <w:szCs w:val="20"/>
        </w:rPr>
      </w:pPr>
      <w:r w:rsidRPr="005068BC">
        <w:rPr>
          <w:rFonts w:asciiTheme="minorBidi" w:hAnsiTheme="minorBidi"/>
          <w:color w:val="1F3864" w:themeColor="accent5" w:themeShade="80"/>
          <w:sz w:val="20"/>
          <w:szCs w:val="20"/>
        </w:rPr>
        <w:t>Une enquête sur les composantes des activités d’une entité est nécessaire. L’objectif est d’évaluer l’état de l’automatisation, des actifs et des installations et de vérifier toute fraude ou passif caché.</w:t>
      </w:r>
    </w:p>
    <w:p w:rsidR="00A362E6" w:rsidRPr="0070710E" w:rsidRDefault="00A362E6" w:rsidP="007B6385">
      <w:pPr>
        <w:pStyle w:val="ListParagraph"/>
        <w:spacing w:after="0"/>
        <w:rPr>
          <w:rFonts w:asciiTheme="minorBidi" w:hAnsiTheme="minorBidi"/>
        </w:rPr>
      </w:pPr>
    </w:p>
    <w:p w:rsidR="0070710E" w:rsidRDefault="0070710E" w:rsidP="0070710E">
      <w:pPr>
        <w:rPr>
          <w:rFonts w:asciiTheme="minorBidi" w:hAnsiTheme="minorBidi"/>
          <w:b/>
          <w:bCs/>
          <w:sz w:val="16"/>
          <w:szCs w:val="16"/>
          <w:u w:val="single"/>
        </w:rPr>
      </w:pPr>
    </w:p>
    <w:p w:rsidR="0070710E" w:rsidRDefault="0070710E" w:rsidP="0070710E">
      <w:pPr>
        <w:rPr>
          <w:rFonts w:asciiTheme="minorBidi" w:hAnsiTheme="minorBidi"/>
          <w:b/>
          <w:bCs/>
          <w:sz w:val="16"/>
          <w:szCs w:val="16"/>
          <w:u w:val="single"/>
        </w:rPr>
      </w:pPr>
    </w:p>
    <w:p w:rsidR="0070710E" w:rsidRPr="0070710E" w:rsidRDefault="0070710E" w:rsidP="0070710E">
      <w:pPr>
        <w:spacing w:after="0"/>
        <w:rPr>
          <w:rFonts w:asciiTheme="minorBidi" w:hAnsiTheme="minorBidi"/>
          <w:b/>
          <w:bCs/>
          <w:color w:val="1F3864" w:themeColor="accent5" w:themeShade="80"/>
          <w:sz w:val="18"/>
          <w:szCs w:val="18"/>
        </w:rPr>
      </w:pPr>
      <w:r w:rsidRPr="0070710E">
        <w:rPr>
          <w:rFonts w:asciiTheme="minorBidi" w:hAnsiTheme="minorBidi"/>
          <w:b/>
          <w:bCs/>
          <w:color w:val="1F3864" w:themeColor="accent5" w:themeShade="80"/>
          <w:sz w:val="18"/>
          <w:szCs w:val="18"/>
        </w:rPr>
        <w:t>Edité, repris et publié par Hisham Elkomy</w:t>
      </w:r>
    </w:p>
    <w:sectPr w:rsidR="0070710E" w:rsidRPr="0070710E" w:rsidSect="00644778">
      <w:footerReference w:type="default" r:id="rId7"/>
      <w:pgSz w:w="12240" w:h="15840"/>
      <w:pgMar w:top="1440"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A54" w:rsidRDefault="00474A54" w:rsidP="0070710E">
      <w:pPr>
        <w:spacing w:after="0" w:line="240" w:lineRule="auto"/>
      </w:pPr>
      <w:r>
        <w:separator/>
      </w:r>
    </w:p>
  </w:endnote>
  <w:endnote w:type="continuationSeparator" w:id="0">
    <w:p w:rsidR="00474A54" w:rsidRDefault="00474A54" w:rsidP="0070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78" w:rsidRDefault="00644778" w:rsidP="00644778">
    <w:pPr>
      <w:pStyle w:val="Footer"/>
    </w:pPr>
    <w:r>
      <w:t xml:space="preserve">HLK &amp; Associates </w:t>
    </w:r>
    <w:r>
      <w:tab/>
    </w:r>
    <w:r>
      <w:tab/>
      <w:t xml:space="preserve"> Mercredi 27 janvier 2021</w:t>
    </w:r>
  </w:p>
  <w:p w:rsidR="00644778" w:rsidRDefault="00474A54" w:rsidP="00644778">
    <w:pPr>
      <w:pStyle w:val="Footer"/>
    </w:pPr>
    <w:hyperlink r:id="rId1" w:history="1">
      <w:r w:rsidR="00644778" w:rsidRPr="001B4657">
        <w:rPr>
          <w:rStyle w:val="Hyperlink"/>
        </w:rPr>
        <w:t>https://hlk-ca.com/</w:t>
      </w:r>
    </w:hyperlink>
    <w:r w:rsidR="00644778">
      <w:tab/>
    </w:r>
    <w:r w:rsidR="00644778">
      <w:tab/>
    </w:r>
  </w:p>
  <w:p w:rsidR="00644778" w:rsidRDefault="00644778" w:rsidP="00644778">
    <w:pPr>
      <w:pStyle w:val="Footer"/>
    </w:pPr>
  </w:p>
  <w:p w:rsidR="00644778" w:rsidRDefault="00644778" w:rsidP="00644778">
    <w:pPr>
      <w:pStyle w:val="Footer"/>
    </w:pPr>
  </w:p>
  <w:p w:rsidR="00644778" w:rsidRDefault="00644778" w:rsidP="00644778">
    <w:pPr>
      <w:pStyle w:val="Footer"/>
      <w:jc w:val="center"/>
    </w:pPr>
    <w:r>
      <w:t>Diligence raisonnable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A54" w:rsidRDefault="00474A54" w:rsidP="0070710E">
      <w:pPr>
        <w:spacing w:after="0" w:line="240" w:lineRule="auto"/>
      </w:pPr>
      <w:r>
        <w:separator/>
      </w:r>
    </w:p>
  </w:footnote>
  <w:footnote w:type="continuationSeparator" w:id="0">
    <w:p w:rsidR="00474A54" w:rsidRDefault="00474A54" w:rsidP="00707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01EB"/>
    <w:multiLevelType w:val="hybridMultilevel"/>
    <w:tmpl w:val="C4962BEE"/>
    <w:lvl w:ilvl="0" w:tplc="4EAC6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14DEF"/>
    <w:multiLevelType w:val="hybridMultilevel"/>
    <w:tmpl w:val="CAF8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115EC"/>
    <w:multiLevelType w:val="hybridMultilevel"/>
    <w:tmpl w:val="D4241026"/>
    <w:lvl w:ilvl="0" w:tplc="5A643B9A">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77F25F9F"/>
    <w:multiLevelType w:val="hybridMultilevel"/>
    <w:tmpl w:val="B7DAA5FE"/>
    <w:lvl w:ilvl="0" w:tplc="99ACDE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50"/>
    <w:rsid w:val="000B3855"/>
    <w:rsid w:val="00106A45"/>
    <w:rsid w:val="00115CBC"/>
    <w:rsid w:val="00184AF5"/>
    <w:rsid w:val="002151A7"/>
    <w:rsid w:val="002459A5"/>
    <w:rsid w:val="00245E06"/>
    <w:rsid w:val="002809A3"/>
    <w:rsid w:val="002E52E1"/>
    <w:rsid w:val="00302EBF"/>
    <w:rsid w:val="003C38CA"/>
    <w:rsid w:val="004149A5"/>
    <w:rsid w:val="00423495"/>
    <w:rsid w:val="00436990"/>
    <w:rsid w:val="00474A54"/>
    <w:rsid w:val="004E01D0"/>
    <w:rsid w:val="004E0C53"/>
    <w:rsid w:val="005068BC"/>
    <w:rsid w:val="005543B4"/>
    <w:rsid w:val="005610F9"/>
    <w:rsid w:val="00581940"/>
    <w:rsid w:val="00633A70"/>
    <w:rsid w:val="00644778"/>
    <w:rsid w:val="0070710E"/>
    <w:rsid w:val="007218EF"/>
    <w:rsid w:val="007723A6"/>
    <w:rsid w:val="007B6385"/>
    <w:rsid w:val="008E091F"/>
    <w:rsid w:val="008F347E"/>
    <w:rsid w:val="00947AAE"/>
    <w:rsid w:val="00977296"/>
    <w:rsid w:val="009842B7"/>
    <w:rsid w:val="009863A5"/>
    <w:rsid w:val="009A22D1"/>
    <w:rsid w:val="009C33A6"/>
    <w:rsid w:val="009C76F2"/>
    <w:rsid w:val="009D0C4A"/>
    <w:rsid w:val="009E18F6"/>
    <w:rsid w:val="00A05E6A"/>
    <w:rsid w:val="00A362E6"/>
    <w:rsid w:val="00A64097"/>
    <w:rsid w:val="00A82BF7"/>
    <w:rsid w:val="00A93EFA"/>
    <w:rsid w:val="00C26A26"/>
    <w:rsid w:val="00C32F88"/>
    <w:rsid w:val="00C4639D"/>
    <w:rsid w:val="00C769BF"/>
    <w:rsid w:val="00D0546F"/>
    <w:rsid w:val="00D22512"/>
    <w:rsid w:val="00DC4512"/>
    <w:rsid w:val="00DC4EAD"/>
    <w:rsid w:val="00DD4585"/>
    <w:rsid w:val="00E33DD8"/>
    <w:rsid w:val="00EC46F1"/>
    <w:rsid w:val="00ED62E6"/>
    <w:rsid w:val="00F02450"/>
    <w:rsid w:val="00F256B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B6AE"/>
  <w15:chartTrackingRefBased/>
  <w15:docId w15:val="{6F24E02C-5D1E-4A4F-A498-755E0EF0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fr" w:bidi="f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D8"/>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DD8"/>
    <w:pPr>
      <w:ind w:left="720"/>
      <w:contextualSpacing/>
    </w:pPr>
  </w:style>
  <w:style w:type="character" w:styleId="Hyperlink">
    <w:name w:val="Hyperlink"/>
    <w:basedOn w:val="DefaultParagraphFont"/>
    <w:uiPriority w:val="99"/>
    <w:unhideWhenUsed/>
    <w:rsid w:val="0070710E"/>
    <w:rPr>
      <w:color w:val="0563C1" w:themeColor="hyperlink"/>
      <w:u w:val="single"/>
    </w:rPr>
  </w:style>
  <w:style w:type="paragraph" w:styleId="Header">
    <w:name w:val="header"/>
    <w:basedOn w:val="Normal"/>
    <w:link w:val="HeaderChar"/>
    <w:uiPriority w:val="99"/>
    <w:unhideWhenUsed/>
    <w:rsid w:val="0070710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710E"/>
  </w:style>
  <w:style w:type="paragraph" w:styleId="Footer">
    <w:name w:val="footer"/>
    <w:basedOn w:val="Normal"/>
    <w:link w:val="FooterChar"/>
    <w:uiPriority w:val="99"/>
    <w:unhideWhenUsed/>
    <w:rsid w:val="0070710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7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05688">
      <w:bodyDiv w:val="1"/>
      <w:marLeft w:val="0"/>
      <w:marRight w:val="0"/>
      <w:marTop w:val="0"/>
      <w:marBottom w:val="0"/>
      <w:divBdr>
        <w:top w:val="none" w:sz="0" w:space="0" w:color="auto"/>
        <w:left w:val="none" w:sz="0" w:space="0" w:color="auto"/>
        <w:bottom w:val="none" w:sz="0" w:space="0" w:color="auto"/>
        <w:right w:val="none" w:sz="0" w:space="0" w:color="auto"/>
      </w:divBdr>
      <w:divsChild>
        <w:div w:id="2010525626">
          <w:marLeft w:val="0"/>
          <w:marRight w:val="0"/>
          <w:marTop w:val="0"/>
          <w:marBottom w:val="0"/>
          <w:divBdr>
            <w:top w:val="none" w:sz="0" w:space="0" w:color="auto"/>
            <w:left w:val="none" w:sz="0" w:space="0" w:color="auto"/>
            <w:bottom w:val="none" w:sz="0" w:space="0" w:color="auto"/>
            <w:right w:val="none" w:sz="0" w:space="0" w:color="auto"/>
          </w:divBdr>
        </w:div>
        <w:div w:id="1996760632">
          <w:marLeft w:val="0"/>
          <w:marRight w:val="0"/>
          <w:marTop w:val="225"/>
          <w:marBottom w:val="0"/>
          <w:divBdr>
            <w:top w:val="single" w:sz="6" w:space="8" w:color="C9DAE5"/>
            <w:left w:val="single" w:sz="6" w:space="8" w:color="C9DAE5"/>
            <w:bottom w:val="none" w:sz="0" w:space="8" w:color="auto"/>
            <w:right w:val="single" w:sz="6" w:space="19" w:color="C9DAE5"/>
          </w:divBdr>
        </w:div>
      </w:divsChild>
    </w:div>
    <w:div w:id="2046102531">
      <w:bodyDiv w:val="1"/>
      <w:marLeft w:val="0"/>
      <w:marRight w:val="0"/>
      <w:marTop w:val="0"/>
      <w:marBottom w:val="0"/>
      <w:divBdr>
        <w:top w:val="none" w:sz="0" w:space="0" w:color="auto"/>
        <w:left w:val="none" w:sz="0" w:space="0" w:color="auto"/>
        <w:bottom w:val="none" w:sz="0" w:space="0" w:color="auto"/>
        <w:right w:val="none" w:sz="0" w:space="0" w:color="auto"/>
      </w:divBdr>
      <w:divsChild>
        <w:div w:id="1250886043">
          <w:marLeft w:val="0"/>
          <w:marRight w:val="0"/>
          <w:marTop w:val="0"/>
          <w:marBottom w:val="0"/>
          <w:divBdr>
            <w:top w:val="none" w:sz="0" w:space="0" w:color="auto"/>
            <w:left w:val="none" w:sz="0" w:space="0" w:color="auto"/>
            <w:bottom w:val="none" w:sz="0" w:space="0" w:color="auto"/>
            <w:right w:val="none" w:sz="0" w:space="0" w:color="auto"/>
          </w:divBdr>
        </w:div>
        <w:div w:id="597759648">
          <w:marLeft w:val="0"/>
          <w:marRight w:val="0"/>
          <w:marTop w:val="225"/>
          <w:marBottom w:val="0"/>
          <w:divBdr>
            <w:top w:val="single" w:sz="6" w:space="8" w:color="C9DAE5"/>
            <w:left w:val="single" w:sz="6" w:space="8" w:color="C9DAE5"/>
            <w:bottom w:val="none" w:sz="0" w:space="8" w:color="auto"/>
            <w:right w:val="single" w:sz="6" w:space="19" w:color="C9DAE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hlk-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2021-01-28T12:26:00Z</dcterms:created>
  <dcterms:modified xsi:type="dcterms:W3CDTF">2021-01-28T12:26:00Z</dcterms:modified>
</cp:coreProperties>
</file>